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4"/>
          <w:szCs w:val="44"/>
        </w:rPr>
      </w:pPr>
      <w:bookmarkStart w:id="0" w:name="OLE_LINK31"/>
      <w:bookmarkStart w:id="1" w:name="OLE_LINK101"/>
      <w:bookmarkStart w:id="2" w:name="OLE_LINK52"/>
      <w:bookmarkStart w:id="3" w:name="OLE_LINK18"/>
      <w:r>
        <w:rPr>
          <w:rFonts w:hint="eastAsia"/>
          <w:b/>
          <w:sz w:val="44"/>
          <w:szCs w:val="44"/>
        </w:rPr>
        <w:t>厦门迪太进出口有限公司</w:t>
      </w:r>
      <w:bookmarkEnd w:id="0"/>
    </w:p>
    <w:bookmarkEnd w:id="1"/>
    <w:p>
      <w:pPr>
        <w:jc w:val="center"/>
        <w:rPr>
          <w:rFonts w:hint="eastAsia"/>
          <w:b/>
          <w:sz w:val="44"/>
          <w:szCs w:val="44"/>
        </w:rPr>
      </w:pPr>
      <w:bookmarkStart w:id="4" w:name="OLE_LINK47"/>
      <w:r>
        <w:rPr>
          <w:rFonts w:hint="eastAsia"/>
          <w:b/>
          <w:sz w:val="44"/>
          <w:szCs w:val="44"/>
        </w:rPr>
        <w:t>XIAMEN DITAI IMP.&amp; EXP. CO.,LTD</w:t>
      </w:r>
      <w:bookmarkEnd w:id="4"/>
    </w:p>
    <w:p>
      <w:pPr>
        <w:jc w:val="center"/>
        <w:rPr>
          <w:rFonts w:hint="eastAsia"/>
          <w:b/>
          <w:szCs w:val="44"/>
        </w:rPr>
      </w:pPr>
      <w:r>
        <w:rPr>
          <w:rFonts w:hint="eastAsia"/>
          <w:b/>
          <w:szCs w:val="44"/>
        </w:rPr>
        <w:t>地址：</w:t>
      </w:r>
      <w:bookmarkStart w:id="5" w:name="OLE_LINK102"/>
      <w:r>
        <w:rPr>
          <w:rFonts w:hint="eastAsia"/>
          <w:b/>
          <w:szCs w:val="44"/>
        </w:rPr>
        <w:t>中国厦门禾祥西路鸿升大厦8A</w:t>
      </w:r>
      <w:bookmarkEnd w:id="5"/>
    </w:p>
    <w:p>
      <w:pPr>
        <w:jc w:val="center"/>
        <w:rPr>
          <w:rFonts w:hint="eastAsia"/>
          <w:b/>
          <w:szCs w:val="44"/>
        </w:rPr>
      </w:pPr>
      <w:bookmarkStart w:id="6" w:name="OLE_LINK86"/>
      <w:r>
        <w:rPr>
          <w:rFonts w:hint="eastAsia"/>
          <w:b/>
          <w:szCs w:val="44"/>
        </w:rPr>
        <w:t>8F</w:t>
      </w:r>
      <w:r>
        <w:rPr>
          <w:rFonts w:hint="eastAsia"/>
          <w:b/>
          <w:szCs w:val="44"/>
          <w:lang w:val="en-US" w:eastAsia="zh-CN"/>
        </w:rPr>
        <w:t>L</w:t>
      </w:r>
      <w:r>
        <w:rPr>
          <w:rFonts w:hint="eastAsia"/>
          <w:b/>
          <w:szCs w:val="44"/>
        </w:rPr>
        <w:t>, Hongsheng Building, West Hexiang Road, Xiamen, Fujian, China</w:t>
      </w:r>
    </w:p>
    <w:p>
      <w:pPr>
        <w:pBdr>
          <w:bottom w:val="single" w:color="auto" w:sz="4" w:space="0"/>
        </w:pBdr>
        <w:jc w:val="center"/>
        <w:rPr>
          <w:rFonts w:hint="eastAsia"/>
          <w:b/>
          <w:color w:val="000000"/>
          <w:szCs w:val="44"/>
        </w:rPr>
      </w:pPr>
      <w:bookmarkStart w:id="7" w:name="OLE_LINK12"/>
      <w:bookmarkStart w:id="8" w:name="OLE_LINK34"/>
      <w:r>
        <w:rPr>
          <w:rFonts w:hint="eastAsia"/>
          <w:b/>
          <w:szCs w:val="44"/>
        </w:rPr>
        <w:t>TEL:0592-26808</w:t>
      </w:r>
      <w:r>
        <w:rPr>
          <w:rFonts w:hint="eastAsia"/>
          <w:b/>
          <w:szCs w:val="44"/>
          <w:lang w:val="en-US" w:eastAsia="zh-CN"/>
        </w:rPr>
        <w:t>108</w:t>
      </w:r>
      <w:r>
        <w:rPr>
          <w:rFonts w:hint="eastAsia"/>
          <w:b/>
          <w:szCs w:val="44"/>
        </w:rPr>
        <w:t xml:space="preserve"> FAX:0592-2680880 E-mail: </w:t>
      </w:r>
      <w:r>
        <w:rPr>
          <w:rFonts w:hint="eastAsia"/>
          <w:b/>
          <w:color w:val="000000"/>
          <w:szCs w:val="44"/>
        </w:rPr>
        <w:t>irene.zhang@xmditai.com</w:t>
      </w:r>
      <w:bookmarkEnd w:id="2"/>
      <w:bookmarkEnd w:id="3"/>
      <w:bookmarkEnd w:id="6"/>
      <w:bookmarkEnd w:id="7"/>
      <w:bookmarkEnd w:id="8"/>
    </w:p>
    <w:p>
      <w:pPr>
        <w:pBdr>
          <w:bottom w:val="single" w:color="auto" w:sz="4" w:space="0"/>
        </w:pBdr>
        <w:jc w:val="center"/>
        <w:rPr>
          <w:rFonts w:hint="default"/>
          <w:b/>
          <w:color w:val="000000"/>
          <w:szCs w:val="44"/>
        </w:rPr>
      </w:pP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240" w:lineRule="auto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eastAsia="sans-serif" w:cs="Arial"/>
          <w:b w:val="0"/>
          <w:i w:val="0"/>
          <w:caps w:val="0"/>
          <w:color w:val="000000"/>
          <w:spacing w:val="0"/>
          <w:sz w:val="27"/>
          <w:szCs w:val="27"/>
        </w:rPr>
        <w:br w:type="textWrapping"/>
      </w: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  <w:bdr w:val="single" w:color="DDDDDD" w:sz="6" w:space="0"/>
        </w:rPr>
        <w:drawing>
          <wp:inline distT="0" distB="0" distL="114300" distR="114300">
            <wp:extent cx="9525" cy="9525"/>
            <wp:effectExtent l="0" t="0" r="0" b="0"/>
            <wp:docPr id="2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240" w:lineRule="auto"/>
        <w:ind w:left="0" w:right="0" w:firstLine="0"/>
        <w:jc w:val="center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Style w:val="4"/>
          <w:rFonts w:hint="default" w:ascii="Arial" w:hAnsi="Arial" w:eastAsia="sans-serif" w:cs="Arial"/>
          <w:i w:val="0"/>
          <w:caps w:val="0"/>
          <w:color w:val="000000"/>
          <w:spacing w:val="0"/>
          <w:sz w:val="30"/>
          <w:szCs w:val="30"/>
        </w:rPr>
        <w:t>Citric Acid For Cleaning CAS 77-92-9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240" w:lineRule="auto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240" w:lineRule="auto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Style w:val="4"/>
          <w:rFonts w:hint="default" w:ascii="Arial" w:hAnsi="Arial" w:eastAsia="sans-serif" w:cs="Arial"/>
          <w:i w:val="0"/>
          <w:caps w:val="0"/>
          <w:color w:val="000000"/>
          <w:spacing w:val="0"/>
          <w:sz w:val="27"/>
          <w:szCs w:val="27"/>
        </w:rPr>
        <w:t>1.The Details of Citric Acid For Cleaning CAS 77-92-9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240" w:lineRule="auto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textAlignment w:val="baseline"/>
        <w:rPr>
          <w:caps w:val="0"/>
          <w:color w:val="000000"/>
          <w:spacing w:val="0"/>
        </w:rPr>
      </w:pPr>
      <w:r>
        <w:rPr>
          <w:rFonts w:ascii="Times New Roman" w:hAnsi="Times New Roman" w:cs="Times New Roman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</w:rPr>
        <w:t>Product name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textAlignment w:val="baseline"/>
        <w:rPr>
          <w:caps w:val="0"/>
          <w:color w:val="000000"/>
          <w:spacing w:val="0"/>
        </w:rPr>
      </w:pPr>
      <w:r>
        <w:rPr>
          <w:rFonts w:hint="default" w:ascii="Times New Roman" w:hAnsi="Times New Roman" w:cs="Times New Roman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</w:rPr>
        <w:t>Citric acid anhydrous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textAlignment w:val="baseline"/>
        <w:rPr>
          <w:caps w:val="0"/>
          <w:color w:val="000000"/>
          <w:spacing w:val="0"/>
        </w:rPr>
      </w:pPr>
      <w:r>
        <w:rPr>
          <w:rFonts w:hint="default" w:ascii="Times New Roman" w:hAnsi="Times New Roman" w:cs="Times New Roman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</w:rPr>
        <w:t>Other name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textAlignment w:val="baseline"/>
        <w:rPr>
          <w:caps w:val="0"/>
          <w:color w:val="000000"/>
          <w:spacing w:val="0"/>
        </w:rPr>
      </w:pPr>
      <w:r>
        <w:rPr>
          <w:rFonts w:hint="default" w:ascii="Times New Roman" w:hAnsi="Times New Roman" w:cs="Times New Roman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</w:rPr>
        <w:t>2-Hydroxy-1,2,3-propanetricarboxylic acid; Citric acid, anhydrous, CAA; Citric acid anhydrous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textAlignment w:val="baseline"/>
        <w:rPr>
          <w:caps w:val="0"/>
          <w:color w:val="000000"/>
          <w:spacing w:val="0"/>
        </w:rPr>
      </w:pPr>
      <w:r>
        <w:rPr>
          <w:rFonts w:hint="default" w:ascii="Times New Roman" w:hAnsi="Times New Roman" w:cs="Times New Roman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</w:rPr>
        <w:t>CAS NO.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textAlignment w:val="baseline"/>
        <w:rPr>
          <w:caps w:val="0"/>
          <w:color w:val="000000"/>
          <w:spacing w:val="0"/>
        </w:rPr>
      </w:pPr>
      <w:r>
        <w:rPr>
          <w:rFonts w:hint="default" w:ascii="Times New Roman" w:hAnsi="Times New Roman" w:cs="Times New Roman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</w:rPr>
        <w:t>77-92-9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textAlignment w:val="baseline"/>
        <w:rPr>
          <w:caps w:val="0"/>
          <w:color w:val="000000"/>
          <w:spacing w:val="0"/>
        </w:rPr>
      </w:pPr>
      <w:r>
        <w:rPr>
          <w:rFonts w:hint="default" w:ascii="Times New Roman" w:hAnsi="Times New Roman" w:cs="Times New Roman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</w:rPr>
        <w:t>EINECS NO.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textAlignment w:val="baseline"/>
        <w:rPr>
          <w:caps w:val="0"/>
          <w:color w:val="000000"/>
          <w:spacing w:val="0"/>
        </w:rPr>
      </w:pPr>
      <w:r>
        <w:rPr>
          <w:rFonts w:hint="default" w:ascii="Times New Roman" w:hAnsi="Times New Roman" w:cs="Times New Roman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</w:rPr>
        <w:t>201-069-1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textAlignment w:val="baseline"/>
        <w:rPr>
          <w:caps w:val="0"/>
          <w:color w:val="000000"/>
          <w:spacing w:val="0"/>
        </w:rPr>
      </w:pPr>
      <w:r>
        <w:rPr>
          <w:rFonts w:hint="default" w:ascii="Times New Roman" w:hAnsi="Times New Roman" w:cs="Times New Roman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</w:rPr>
        <w:t>Molecular formula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textAlignment w:val="baseline"/>
        <w:rPr>
          <w:caps w:val="0"/>
          <w:color w:val="000000"/>
          <w:spacing w:val="0"/>
        </w:rPr>
      </w:pPr>
      <w:r>
        <w:rPr>
          <w:rFonts w:hint="default" w:ascii="Times New Roman" w:hAnsi="Times New Roman" w:cs="Times New Roman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</w:rPr>
        <w:t>C</w:t>
      </w:r>
      <w:r>
        <w:rPr>
          <w:rFonts w:hint="default" w:ascii="Times New Roman" w:hAnsi="Times New Roman" w:cs="Times New Roman"/>
          <w:caps w:val="0"/>
          <w:color w:val="000000"/>
          <w:spacing w:val="0"/>
          <w:sz w:val="20"/>
          <w:szCs w:val="20"/>
          <w:bdr w:val="none" w:color="auto" w:sz="0" w:space="0"/>
          <w:vertAlign w:val="baseline"/>
        </w:rPr>
        <w:t>6</w:t>
      </w:r>
      <w:r>
        <w:rPr>
          <w:rFonts w:hint="default" w:ascii="Times New Roman" w:hAnsi="Times New Roman" w:cs="Times New Roman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</w:rPr>
        <w:t>H</w:t>
      </w:r>
      <w:r>
        <w:rPr>
          <w:rFonts w:hint="default" w:ascii="Times New Roman" w:hAnsi="Times New Roman" w:cs="Times New Roman"/>
          <w:caps w:val="0"/>
          <w:color w:val="000000"/>
          <w:spacing w:val="0"/>
          <w:sz w:val="20"/>
          <w:szCs w:val="20"/>
          <w:bdr w:val="none" w:color="auto" w:sz="0" w:space="0"/>
          <w:vertAlign w:val="baseline"/>
        </w:rPr>
        <w:t>8</w:t>
      </w:r>
      <w:r>
        <w:rPr>
          <w:rFonts w:hint="default" w:ascii="Times New Roman" w:hAnsi="Times New Roman" w:cs="Times New Roman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</w:rPr>
        <w:t>O</w:t>
      </w:r>
      <w:r>
        <w:rPr>
          <w:rFonts w:hint="default" w:ascii="Times New Roman" w:hAnsi="Times New Roman" w:cs="Times New Roman"/>
          <w:caps w:val="0"/>
          <w:color w:val="000000"/>
          <w:spacing w:val="0"/>
          <w:sz w:val="20"/>
          <w:szCs w:val="20"/>
          <w:bdr w:val="none" w:color="auto" w:sz="0" w:space="0"/>
          <w:vertAlign w:val="baseline"/>
        </w:rPr>
        <w:t>7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textAlignment w:val="baseline"/>
        <w:rPr>
          <w:caps w:val="0"/>
          <w:color w:val="000000"/>
          <w:spacing w:val="0"/>
        </w:rPr>
      </w:pPr>
      <w:r>
        <w:rPr>
          <w:rFonts w:hint="default" w:ascii="Times New Roman" w:hAnsi="Times New Roman" w:cs="Times New Roman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</w:rPr>
        <w:t>Packing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textAlignment w:val="baseline"/>
        <w:rPr>
          <w:caps w:val="0"/>
          <w:color w:val="000000"/>
          <w:spacing w:val="0"/>
        </w:rPr>
      </w:pPr>
      <w:r>
        <w:rPr>
          <w:rFonts w:hint="default" w:ascii="Times New Roman" w:hAnsi="Times New Roman" w:cs="Times New Roman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</w:rPr>
        <w:t>25kg/bag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textAlignment w:val="baseline"/>
        <w:rPr>
          <w:caps w:val="0"/>
          <w:color w:val="000000"/>
          <w:spacing w:val="0"/>
        </w:rPr>
      </w:pPr>
      <w:r>
        <w:rPr>
          <w:rFonts w:hint="default" w:ascii="Times New Roman" w:hAnsi="Times New Roman" w:cs="Times New Roman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</w:rPr>
        <w:t>Standard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textAlignment w:val="baseline"/>
        <w:rPr>
          <w:caps w:val="0"/>
          <w:color w:val="000000"/>
          <w:spacing w:val="0"/>
        </w:rPr>
      </w:pPr>
      <w:r>
        <w:rPr>
          <w:rFonts w:hint="default" w:ascii="Times New Roman" w:hAnsi="Times New Roman" w:cs="Times New Roman"/>
          <w:caps w:val="0"/>
          <w:color w:val="000000"/>
          <w:spacing w:val="0"/>
          <w:sz w:val="27"/>
          <w:szCs w:val="27"/>
          <w:bdr w:val="none" w:color="auto" w:sz="0" w:space="0"/>
          <w:vertAlign w:val="baseline"/>
        </w:rPr>
        <w:t>BP/USP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240" w:lineRule="auto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bookmarkStart w:id="9" w:name="_GoBack"/>
      <w:bookmarkEnd w:id="9"/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240" w:lineRule="auto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4762500" cy="4762500"/>
            <wp:effectExtent l="0" t="0" r="0" b="0"/>
            <wp:docPr id="3" name="图片 1" descr="Citric Acid For Cleaning CAS 77-92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itric Acid For Cleaning CAS 77-92-9.jp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240" w:lineRule="auto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240" w:lineRule="auto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240" w:lineRule="auto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drawing>
          <wp:inline distT="0" distB="0" distL="114300" distR="114300">
            <wp:extent cx="4819650" cy="3543300"/>
            <wp:effectExtent l="0" t="0" r="0" b="0"/>
            <wp:docPr id="4" name="图片 2" descr="Ferrous_sulphate_7H2O_3133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Ferrous_sulphate_7H2O_3133_4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240" w:lineRule="auto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240" w:lineRule="auto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240" w:lineRule="auto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240" w:lineRule="auto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240" w:lineRule="auto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Style w:val="4"/>
          <w:rFonts w:hint="default" w:ascii="Arial" w:hAnsi="Arial" w:eastAsia="sans-serif" w:cs="Arial"/>
          <w:i w:val="0"/>
          <w:caps w:val="0"/>
          <w:color w:val="000000"/>
          <w:spacing w:val="0"/>
          <w:sz w:val="27"/>
          <w:szCs w:val="27"/>
        </w:rPr>
        <w:t>2.The Description of Citric Acid For Cleaning CAS 77-92-9</w:t>
      </w:r>
    </w:p>
    <w:tbl>
      <w:tblPr>
        <w:tblStyle w:val="5"/>
        <w:tblpPr w:leftFromText="180" w:rightFromText="180" w:vertAnchor="text" w:horzAnchor="page" w:tblpX="895" w:tblpY="1027"/>
        <w:tblOverlap w:val="never"/>
        <w:tblW w:w="1048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27"/>
        <w:gridCol w:w="959"/>
        <w:gridCol w:w="40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</w:tblPrEx>
        <w:tc>
          <w:tcPr>
            <w:tcW w:w="54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AAAA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Items</w:t>
            </w:r>
          </w:p>
        </w:tc>
        <w:tc>
          <w:tcPr>
            <w:tcW w:w="95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AAAA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 UNIT</w:t>
            </w:r>
          </w:p>
        </w:tc>
        <w:tc>
          <w:tcPr>
            <w:tcW w:w="409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AAAA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Quality Standards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BBBBBB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Identification</w:t>
            </w:r>
          </w:p>
        </w:tc>
        <w:tc>
          <w:tcPr>
            <w:tcW w:w="95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BBBBBB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-----</w:t>
            </w:r>
          </w:p>
        </w:tc>
        <w:tc>
          <w:tcPr>
            <w:tcW w:w="409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BBBBBB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Pass Test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CCCCCC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Appearance of Solution</w:t>
            </w:r>
          </w:p>
        </w:tc>
        <w:tc>
          <w:tcPr>
            <w:tcW w:w="95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CCCCCC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-----</w:t>
            </w:r>
          </w:p>
        </w:tc>
        <w:tc>
          <w:tcPr>
            <w:tcW w:w="409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CCCCCC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Pass Test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AAAA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Assay                       </w:t>
            </w:r>
          </w:p>
        </w:tc>
        <w:tc>
          <w:tcPr>
            <w:tcW w:w="95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AAAA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%     </w:t>
            </w:r>
          </w:p>
        </w:tc>
        <w:tc>
          <w:tcPr>
            <w:tcW w:w="409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AAAA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99.5-100.5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BBBBBB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Sulphate</w:t>
            </w:r>
          </w:p>
        </w:tc>
        <w:tc>
          <w:tcPr>
            <w:tcW w:w="95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BBBBBB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PPM</w:t>
            </w:r>
          </w:p>
        </w:tc>
        <w:tc>
          <w:tcPr>
            <w:tcW w:w="409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BBBBBB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≤150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CCCCCC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Oxalate</w:t>
            </w:r>
          </w:p>
        </w:tc>
        <w:tc>
          <w:tcPr>
            <w:tcW w:w="95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CCCCCC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PPM</w:t>
            </w:r>
          </w:p>
        </w:tc>
        <w:tc>
          <w:tcPr>
            <w:tcW w:w="409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CCCCCC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≤100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AAAA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Chloride</w:t>
            </w:r>
          </w:p>
        </w:tc>
        <w:tc>
          <w:tcPr>
            <w:tcW w:w="95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AAAA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PPM</w:t>
            </w:r>
          </w:p>
        </w:tc>
        <w:tc>
          <w:tcPr>
            <w:tcW w:w="409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AAAA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≤50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BBBBBB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Heavy Metal( as Pb)</w:t>
            </w:r>
          </w:p>
        </w:tc>
        <w:tc>
          <w:tcPr>
            <w:tcW w:w="95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BBBBBB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PPM</w:t>
            </w:r>
          </w:p>
        </w:tc>
        <w:tc>
          <w:tcPr>
            <w:tcW w:w="409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BBBBBB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≤5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CCCCCC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Calcium</w:t>
            </w:r>
          </w:p>
        </w:tc>
        <w:tc>
          <w:tcPr>
            <w:tcW w:w="95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CCCCCC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PPM</w:t>
            </w:r>
          </w:p>
        </w:tc>
        <w:tc>
          <w:tcPr>
            <w:tcW w:w="409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CCCCCC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≤75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AAAA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Iron</w:t>
            </w:r>
          </w:p>
        </w:tc>
        <w:tc>
          <w:tcPr>
            <w:tcW w:w="95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AAAA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PPM</w:t>
            </w:r>
          </w:p>
        </w:tc>
        <w:tc>
          <w:tcPr>
            <w:tcW w:w="409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AAAA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≤5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BBBBBB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Sulphated Ash</w:t>
            </w:r>
          </w:p>
        </w:tc>
        <w:tc>
          <w:tcPr>
            <w:tcW w:w="95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BBBBBB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%</w:t>
            </w:r>
          </w:p>
        </w:tc>
        <w:tc>
          <w:tcPr>
            <w:tcW w:w="409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BBBBBB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≤0.05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CCCCCC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Moisture</w:t>
            </w:r>
          </w:p>
        </w:tc>
        <w:tc>
          <w:tcPr>
            <w:tcW w:w="95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CCCCCC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%</w:t>
            </w:r>
          </w:p>
        </w:tc>
        <w:tc>
          <w:tcPr>
            <w:tcW w:w="409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CCCCCC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≤0.5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AAAA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Readily Carbonisable Substances</w:t>
            </w:r>
          </w:p>
        </w:tc>
        <w:tc>
          <w:tcPr>
            <w:tcW w:w="95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AAAA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-----</w:t>
            </w:r>
          </w:p>
        </w:tc>
        <w:tc>
          <w:tcPr>
            <w:tcW w:w="409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AAAA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Not Darker than Standard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BBBBBB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Lead</w:t>
            </w:r>
          </w:p>
        </w:tc>
        <w:tc>
          <w:tcPr>
            <w:tcW w:w="95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BBBBBB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PPM</w:t>
            </w:r>
          </w:p>
        </w:tc>
        <w:tc>
          <w:tcPr>
            <w:tcW w:w="409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BBBBBB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≤0.5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CCCCCC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As</w:t>
            </w:r>
          </w:p>
        </w:tc>
        <w:tc>
          <w:tcPr>
            <w:tcW w:w="95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CCCCCC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PPM</w:t>
            </w:r>
          </w:p>
        </w:tc>
        <w:tc>
          <w:tcPr>
            <w:tcW w:w="409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CCCCCC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≤1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AAAA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Mercury</w:t>
            </w:r>
          </w:p>
        </w:tc>
        <w:tc>
          <w:tcPr>
            <w:tcW w:w="95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AAAA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PPM</w:t>
            </w:r>
          </w:p>
        </w:tc>
        <w:tc>
          <w:tcPr>
            <w:tcW w:w="409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AAAA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≤1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BBBBBB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Aluminum</w:t>
            </w:r>
          </w:p>
        </w:tc>
        <w:tc>
          <w:tcPr>
            <w:tcW w:w="95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BBBBBB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PPM</w:t>
            </w:r>
          </w:p>
        </w:tc>
        <w:tc>
          <w:tcPr>
            <w:tcW w:w="409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BBBBBB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≤0.2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CCCCCC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Barium</w:t>
            </w:r>
          </w:p>
        </w:tc>
        <w:tc>
          <w:tcPr>
            <w:tcW w:w="95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CCCCCC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-----</w:t>
            </w:r>
          </w:p>
        </w:tc>
        <w:tc>
          <w:tcPr>
            <w:tcW w:w="409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CCCCCC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Pass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AAAA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Bacteria Endotoxin</w:t>
            </w:r>
          </w:p>
        </w:tc>
        <w:tc>
          <w:tcPr>
            <w:tcW w:w="95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AAAA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IU/mg</w:t>
            </w:r>
          </w:p>
        </w:tc>
        <w:tc>
          <w:tcPr>
            <w:tcW w:w="409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AAAA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&lt;0.5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BBBBBB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Volatile Organic Impurities</w:t>
            </w:r>
          </w:p>
        </w:tc>
        <w:tc>
          <w:tcPr>
            <w:tcW w:w="95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BBBBBB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----</w:t>
            </w:r>
          </w:p>
        </w:tc>
        <w:tc>
          <w:tcPr>
            <w:tcW w:w="409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BBBBBB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Pass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CCCCCC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Tridodecylamine</w:t>
            </w:r>
          </w:p>
        </w:tc>
        <w:tc>
          <w:tcPr>
            <w:tcW w:w="95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CCCCCC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PPM</w:t>
            </w:r>
          </w:p>
        </w:tc>
        <w:tc>
          <w:tcPr>
            <w:tcW w:w="409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CCCCCC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≤0.1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427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AAAA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Ultraviolet Absorbance</w:t>
            </w:r>
          </w:p>
        </w:tc>
        <w:tc>
          <w:tcPr>
            <w:tcW w:w="959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AAAA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----</w:t>
            </w:r>
          </w:p>
        </w:tc>
        <w:tc>
          <w:tcPr>
            <w:tcW w:w="409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AAAAA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baseline"/>
            </w:pPr>
            <w:r>
              <w:rPr>
                <w:rFonts w:hint="default" w:ascii="Arial" w:hAnsi="Arial" w:cs="Arial"/>
                <w:b/>
                <w:color w:val="000000"/>
                <w:sz w:val="21"/>
                <w:szCs w:val="21"/>
                <w:vertAlign w:val="baseline"/>
              </w:rPr>
              <w:t>Pass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240" w:lineRule="auto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240" w:lineRule="auto"/>
        <w:ind w:left="0" w:right="0" w:firstLine="0"/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b w:val="0"/>
          <w:i w:val="0"/>
          <w:caps w:val="0"/>
          <w:color w:val="000000"/>
          <w:spacing w:val="0"/>
          <w:sz w:val="24"/>
          <w:szCs w:val="24"/>
        </w:rPr>
        <w:t>​</w:t>
      </w:r>
    </w:p>
    <w:p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lucida Grande">
    <w:altName w:val="微软雅黑"/>
    <w:panose1 w:val="00000000000000000000"/>
    <w:charset w:val="01"/>
    <w:family w:val="auto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FE1767"/>
    <w:rsid w:val="132B2B14"/>
    <w:rsid w:val="1364798B"/>
    <w:rsid w:val="1B4B78B7"/>
    <w:rsid w:val="24FE1767"/>
    <w:rsid w:val="26CB2F3D"/>
    <w:rsid w:val="29870111"/>
    <w:rsid w:val="31137C79"/>
    <w:rsid w:val="33156145"/>
    <w:rsid w:val="339203B3"/>
    <w:rsid w:val="39526AF8"/>
    <w:rsid w:val="4B54492C"/>
    <w:rsid w:val="5CC30C6A"/>
    <w:rsid w:val="6EDF6FD6"/>
    <w:rsid w:val="770C17BF"/>
    <w:rsid w:val="77D4665F"/>
    <w:rsid w:val="7A671541"/>
    <w:rsid w:val="7ED80A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Office_10.1.0.6638_F1E327BC-269C-435d-A152-05C5408002CA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2017-12-18T10:00:00Z</dcterms:created>
  <dc:creator>Zxl</dc:creator>
  <cp:lastModifiedBy>TONG</cp:lastModifiedBy>
  <dcterms:modified xsi:type="dcterms:W3CDTF">2018-01-17T07:31:43Z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2052-10.1.0.6638</vt:lpwstr>
  </property>
</Properties>
</file>